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D7505" w14:textId="77777777" w:rsidR="008D66B4" w:rsidRDefault="008D66B4" w:rsidP="008F51FF">
      <w:pPr>
        <w:rPr>
          <w:b/>
          <w:sz w:val="28"/>
        </w:rPr>
      </w:pPr>
    </w:p>
    <w:p w14:paraId="49BF23A6" w14:textId="77777777" w:rsidR="008D66B4" w:rsidRDefault="008D66B4" w:rsidP="008F51FF">
      <w:pPr>
        <w:rPr>
          <w:b/>
          <w:sz w:val="28"/>
        </w:rPr>
      </w:pPr>
    </w:p>
    <w:p w14:paraId="6577FD73" w14:textId="77777777" w:rsidR="000A1204" w:rsidRPr="00556481" w:rsidRDefault="000A1204" w:rsidP="000A1204">
      <w:pPr>
        <w:jc w:val="center"/>
        <w:rPr>
          <w:sz w:val="24"/>
        </w:rPr>
      </w:pPr>
      <w:r w:rsidRPr="00556481">
        <w:rPr>
          <w:sz w:val="24"/>
        </w:rPr>
        <w:t>June 5, 2017</w:t>
      </w:r>
    </w:p>
    <w:p w14:paraId="47431060" w14:textId="77777777" w:rsidR="000A1204" w:rsidRPr="00556481" w:rsidRDefault="000A1204" w:rsidP="000A1204">
      <w:pPr>
        <w:rPr>
          <w:sz w:val="24"/>
        </w:rPr>
      </w:pPr>
    </w:p>
    <w:p w14:paraId="72D8066B" w14:textId="77777777" w:rsidR="000A1204" w:rsidRPr="00556481" w:rsidRDefault="000A1204" w:rsidP="000A1204">
      <w:pPr>
        <w:rPr>
          <w:sz w:val="24"/>
        </w:rPr>
      </w:pPr>
    </w:p>
    <w:p w14:paraId="647B2504" w14:textId="77777777" w:rsidR="000A1204" w:rsidRPr="00556481" w:rsidRDefault="000A1204" w:rsidP="000A1204">
      <w:pPr>
        <w:rPr>
          <w:sz w:val="24"/>
        </w:rPr>
      </w:pPr>
      <w:r w:rsidRPr="00556481">
        <w:rPr>
          <w:sz w:val="24"/>
        </w:rPr>
        <w:t xml:space="preserve">Dear Use Case sub-team leads </w:t>
      </w:r>
    </w:p>
    <w:p w14:paraId="6347E4E4" w14:textId="77777777" w:rsidR="000A1204" w:rsidRPr="00556481" w:rsidRDefault="000A1204" w:rsidP="000A1204">
      <w:pPr>
        <w:rPr>
          <w:sz w:val="24"/>
        </w:rPr>
      </w:pPr>
    </w:p>
    <w:p w14:paraId="5824E1E2" w14:textId="4EBBE283" w:rsidR="000A1204" w:rsidRPr="00556481" w:rsidRDefault="000A1204" w:rsidP="000A1204">
      <w:pPr>
        <w:rPr>
          <w:sz w:val="24"/>
        </w:rPr>
      </w:pPr>
      <w:r>
        <w:rPr>
          <w:sz w:val="24"/>
        </w:rPr>
        <w:t>Re:  Non-technical use case</w:t>
      </w:r>
      <w:r w:rsidRPr="00556481">
        <w:rPr>
          <w:sz w:val="24"/>
        </w:rPr>
        <w:t xml:space="preserve"> for the Vehicle Group Integration </w:t>
      </w:r>
      <w:r>
        <w:rPr>
          <w:sz w:val="24"/>
        </w:rPr>
        <w:t xml:space="preserve">(VGI) </w:t>
      </w:r>
      <w:r w:rsidRPr="00556481">
        <w:rPr>
          <w:sz w:val="24"/>
        </w:rPr>
        <w:t>Working Group</w:t>
      </w:r>
    </w:p>
    <w:p w14:paraId="19FA79E3" w14:textId="77777777" w:rsidR="000A1204" w:rsidRPr="00556481" w:rsidRDefault="000A1204" w:rsidP="000A1204">
      <w:pPr>
        <w:ind w:right="450"/>
        <w:rPr>
          <w:sz w:val="24"/>
        </w:rPr>
      </w:pPr>
    </w:p>
    <w:p w14:paraId="3922CAB0" w14:textId="657DEB2A" w:rsidR="000A1204" w:rsidRPr="00556481" w:rsidRDefault="000A1204" w:rsidP="000A1204">
      <w:pPr>
        <w:ind w:right="450" w:firstLine="720"/>
        <w:rPr>
          <w:sz w:val="24"/>
        </w:rPr>
      </w:pPr>
      <w:r>
        <w:rPr>
          <w:sz w:val="24"/>
        </w:rPr>
        <w:t xml:space="preserve">Attached is a </w:t>
      </w:r>
      <w:r w:rsidRPr="00556481">
        <w:rPr>
          <w:sz w:val="24"/>
        </w:rPr>
        <w:t>non-technical</w:t>
      </w:r>
      <w:r>
        <w:rPr>
          <w:sz w:val="24"/>
        </w:rPr>
        <w:t>, non-market uses case</w:t>
      </w:r>
      <w:r w:rsidRPr="00556481">
        <w:rPr>
          <w:sz w:val="24"/>
        </w:rPr>
        <w:t xml:space="preserve"> for consideration where appropriate in the VGI Working Group process (e.g., either under deliverable 1 or deliverable 3).  </w:t>
      </w:r>
      <w:r w:rsidR="007951A2" w:rsidRPr="007951A2">
        <w:rPr>
          <w:sz w:val="24"/>
        </w:rPr>
        <w:t>It is foundational in that it helps all the other use cases become more valuable.</w:t>
      </w:r>
    </w:p>
    <w:p w14:paraId="06C697E2" w14:textId="77777777" w:rsidR="000A1204" w:rsidRPr="00556481" w:rsidRDefault="000A1204" w:rsidP="000A1204">
      <w:pPr>
        <w:ind w:right="450"/>
        <w:rPr>
          <w:sz w:val="24"/>
        </w:rPr>
      </w:pPr>
    </w:p>
    <w:p w14:paraId="0BBD79B1" w14:textId="314C9881" w:rsidR="000A1204" w:rsidRPr="00556481" w:rsidRDefault="000A1204" w:rsidP="000A1204">
      <w:pPr>
        <w:ind w:right="450" w:firstLine="720"/>
        <w:rPr>
          <w:sz w:val="24"/>
        </w:rPr>
      </w:pPr>
      <w:r w:rsidRPr="00556481">
        <w:rPr>
          <w:sz w:val="24"/>
        </w:rPr>
        <w:t xml:space="preserve">The attached </w:t>
      </w:r>
      <w:r w:rsidR="007951A2">
        <w:rPr>
          <w:sz w:val="24"/>
        </w:rPr>
        <w:t>use</w:t>
      </w:r>
      <w:r>
        <w:rPr>
          <w:sz w:val="24"/>
        </w:rPr>
        <w:t xml:space="preserve"> case</w:t>
      </w:r>
      <w:r w:rsidRPr="00556481">
        <w:rPr>
          <w:sz w:val="24"/>
        </w:rPr>
        <w:t xml:space="preserve"> outline</w:t>
      </w:r>
      <w:r>
        <w:rPr>
          <w:sz w:val="24"/>
        </w:rPr>
        <w:t xml:space="preserve">s </w:t>
      </w:r>
      <w:r w:rsidRPr="00556481">
        <w:rPr>
          <w:sz w:val="24"/>
        </w:rPr>
        <w:t>VGI problems along with possible “policy” and “education” solutions that should be further explored in order to unlock the value of VGI.  We are not endorsing each solution, but rather nominating possible solutions that should be explored i</w:t>
      </w:r>
      <w:r>
        <w:rPr>
          <w:sz w:val="24"/>
        </w:rPr>
        <w:t>n the VGI workplan process i</w:t>
      </w:r>
      <w:r w:rsidRPr="00556481">
        <w:rPr>
          <w:sz w:val="24"/>
        </w:rPr>
        <w:t xml:space="preserve">n order to better understand their pros, cons, trade-offs, and so on. </w:t>
      </w:r>
    </w:p>
    <w:p w14:paraId="7EF244CD" w14:textId="77777777" w:rsidR="000A1204" w:rsidRPr="00556481" w:rsidRDefault="000A1204" w:rsidP="000A1204">
      <w:pPr>
        <w:ind w:right="450" w:firstLine="720"/>
        <w:rPr>
          <w:sz w:val="24"/>
        </w:rPr>
      </w:pPr>
    </w:p>
    <w:p w14:paraId="2F4673F2" w14:textId="77777777" w:rsidR="000A1204" w:rsidRPr="00556481" w:rsidRDefault="000A1204" w:rsidP="000A1204">
      <w:pPr>
        <w:ind w:right="450" w:firstLine="720"/>
        <w:rPr>
          <w:sz w:val="24"/>
        </w:rPr>
      </w:pPr>
      <w:r w:rsidRPr="00556481">
        <w:rPr>
          <w:sz w:val="24"/>
        </w:rPr>
        <w:t>We appreciate your work in leading this subteam.</w:t>
      </w:r>
    </w:p>
    <w:p w14:paraId="3CDACDFA" w14:textId="77777777" w:rsidR="000A1204" w:rsidRPr="00556481" w:rsidRDefault="000A1204" w:rsidP="000A1204">
      <w:pPr>
        <w:ind w:right="450"/>
        <w:rPr>
          <w:sz w:val="24"/>
        </w:rPr>
      </w:pPr>
    </w:p>
    <w:p w14:paraId="311CB91A" w14:textId="77777777" w:rsidR="000A1204" w:rsidRPr="00556481" w:rsidRDefault="000A1204" w:rsidP="000A1204">
      <w:pPr>
        <w:ind w:right="450"/>
        <w:rPr>
          <w:sz w:val="24"/>
        </w:rPr>
      </w:pPr>
      <w:r w:rsidRPr="00556481">
        <w:rPr>
          <w:sz w:val="24"/>
        </w:rPr>
        <w:t>Sincerely</w:t>
      </w:r>
    </w:p>
    <w:p w14:paraId="35F5E6A6" w14:textId="77777777" w:rsidR="000A1204" w:rsidRPr="00556481" w:rsidRDefault="000A1204" w:rsidP="000A1204">
      <w:pPr>
        <w:ind w:right="450"/>
        <w:rPr>
          <w:sz w:val="24"/>
        </w:rPr>
      </w:pPr>
    </w:p>
    <w:p w14:paraId="359E3DBB" w14:textId="77777777" w:rsidR="000A1204" w:rsidRPr="00556481" w:rsidRDefault="000A1204" w:rsidP="000A1204">
      <w:pPr>
        <w:ind w:right="450"/>
        <w:rPr>
          <w:sz w:val="24"/>
        </w:rPr>
      </w:pPr>
      <w:r w:rsidRPr="00556481">
        <w:rPr>
          <w:sz w:val="24"/>
        </w:rPr>
        <w:t xml:space="preserve">Dean Taylor, </w:t>
      </w:r>
    </w:p>
    <w:p w14:paraId="12B2F718" w14:textId="77777777" w:rsidR="000A1204" w:rsidRPr="00556481" w:rsidRDefault="000A1204" w:rsidP="000A1204">
      <w:pPr>
        <w:ind w:right="450"/>
        <w:rPr>
          <w:sz w:val="24"/>
        </w:rPr>
      </w:pPr>
      <w:r w:rsidRPr="00556481">
        <w:rPr>
          <w:sz w:val="24"/>
        </w:rPr>
        <w:t>Southern California Edison</w:t>
      </w:r>
    </w:p>
    <w:p w14:paraId="76BE041F" w14:textId="77777777" w:rsidR="000A1204" w:rsidRPr="00556481" w:rsidRDefault="000A1204" w:rsidP="000A1204">
      <w:pPr>
        <w:ind w:right="450"/>
        <w:rPr>
          <w:sz w:val="24"/>
        </w:rPr>
      </w:pPr>
    </w:p>
    <w:p w14:paraId="72B10023" w14:textId="77777777" w:rsidR="000A1204" w:rsidRPr="00556481" w:rsidRDefault="000A1204" w:rsidP="000A1204">
      <w:pPr>
        <w:ind w:right="450"/>
        <w:rPr>
          <w:sz w:val="24"/>
        </w:rPr>
      </w:pPr>
      <w:r w:rsidRPr="00556481">
        <w:rPr>
          <w:sz w:val="24"/>
        </w:rPr>
        <w:t xml:space="preserve">Bill Boyce, </w:t>
      </w:r>
    </w:p>
    <w:p w14:paraId="0B5F27B1" w14:textId="77777777" w:rsidR="000A1204" w:rsidRPr="00556481" w:rsidRDefault="000A1204" w:rsidP="000A1204">
      <w:pPr>
        <w:ind w:right="450"/>
        <w:rPr>
          <w:sz w:val="24"/>
        </w:rPr>
      </w:pPr>
      <w:r w:rsidRPr="00556481">
        <w:rPr>
          <w:sz w:val="24"/>
        </w:rPr>
        <w:t xml:space="preserve">Sacramento Municipal Utility District </w:t>
      </w:r>
    </w:p>
    <w:p w14:paraId="5C827735" w14:textId="77777777" w:rsidR="000A1204" w:rsidRPr="00556481" w:rsidRDefault="000A1204" w:rsidP="000A1204">
      <w:pPr>
        <w:ind w:right="450"/>
        <w:rPr>
          <w:sz w:val="24"/>
        </w:rPr>
      </w:pPr>
    </w:p>
    <w:p w14:paraId="14241827" w14:textId="1B6F624B" w:rsidR="000A1204" w:rsidRDefault="007E6178" w:rsidP="000A1204">
      <w:pPr>
        <w:ind w:right="450"/>
        <w:rPr>
          <w:sz w:val="24"/>
        </w:rPr>
      </w:pPr>
      <w:r>
        <w:rPr>
          <w:sz w:val="24"/>
        </w:rPr>
        <w:t xml:space="preserve">Max Baumhefner, </w:t>
      </w:r>
    </w:p>
    <w:p w14:paraId="42E662F6" w14:textId="09A418C7" w:rsidR="007E6178" w:rsidRPr="00556481" w:rsidRDefault="007E6178" w:rsidP="000A1204">
      <w:pPr>
        <w:ind w:right="450"/>
        <w:rPr>
          <w:sz w:val="24"/>
        </w:rPr>
      </w:pPr>
      <w:r w:rsidRPr="007E6178">
        <w:rPr>
          <w:sz w:val="24"/>
        </w:rPr>
        <w:t>Natural Resources Defense Council</w:t>
      </w:r>
    </w:p>
    <w:p w14:paraId="47BF5939" w14:textId="77777777" w:rsidR="000A1204" w:rsidRPr="00556481" w:rsidRDefault="000A1204" w:rsidP="000A1204">
      <w:pPr>
        <w:ind w:right="450"/>
        <w:rPr>
          <w:sz w:val="24"/>
        </w:rPr>
      </w:pPr>
    </w:p>
    <w:p w14:paraId="20439AF0" w14:textId="77777777" w:rsidR="000A1204" w:rsidRPr="00556481" w:rsidRDefault="000A1204" w:rsidP="000A1204">
      <w:pPr>
        <w:ind w:right="450"/>
        <w:rPr>
          <w:sz w:val="24"/>
        </w:rPr>
      </w:pPr>
    </w:p>
    <w:p w14:paraId="5C9BB038" w14:textId="77777777" w:rsidR="000A1204" w:rsidRPr="00556481" w:rsidRDefault="000A1204" w:rsidP="000A1204">
      <w:pPr>
        <w:rPr>
          <w:sz w:val="24"/>
        </w:rPr>
      </w:pPr>
    </w:p>
    <w:p w14:paraId="5BC435AD" w14:textId="77777777" w:rsidR="000A1204" w:rsidRPr="00556481" w:rsidRDefault="000A1204" w:rsidP="000A1204">
      <w:pPr>
        <w:rPr>
          <w:sz w:val="24"/>
        </w:rPr>
      </w:pPr>
      <w:r w:rsidRPr="00556481">
        <w:rPr>
          <w:sz w:val="24"/>
        </w:rPr>
        <w:t xml:space="preserve">cc: Justin Regnier, VGI working group facilitator </w:t>
      </w:r>
    </w:p>
    <w:p w14:paraId="114C05D1" w14:textId="77777777" w:rsidR="000A1204" w:rsidRPr="00556481" w:rsidRDefault="000A1204" w:rsidP="000A1204">
      <w:pPr>
        <w:rPr>
          <w:b/>
          <w:sz w:val="32"/>
        </w:rPr>
      </w:pPr>
    </w:p>
    <w:p w14:paraId="66046AD5" w14:textId="77777777" w:rsidR="0004098A" w:rsidRDefault="0004098A">
      <w:pPr>
        <w:spacing w:after="160" w:line="259" w:lineRule="auto"/>
        <w:rPr>
          <w:b/>
          <w:sz w:val="28"/>
        </w:rPr>
      </w:pPr>
      <w:r>
        <w:rPr>
          <w:b/>
          <w:sz w:val="28"/>
        </w:rPr>
        <w:br w:type="page"/>
      </w:r>
    </w:p>
    <w:p w14:paraId="0E0AAA28" w14:textId="14714B5B" w:rsidR="000A1204" w:rsidRDefault="000A1204" w:rsidP="000A1204">
      <w:pPr>
        <w:rPr>
          <w:b/>
          <w:sz w:val="28"/>
        </w:rPr>
      </w:pPr>
      <w:r>
        <w:rPr>
          <w:b/>
          <w:sz w:val="28"/>
        </w:rPr>
        <w:lastRenderedPageBreak/>
        <w:t>One Non-technical – Non-market use-case</w:t>
      </w:r>
    </w:p>
    <w:p w14:paraId="3EFADDBC" w14:textId="5964AB6A" w:rsidR="00552845" w:rsidRDefault="000A1204" w:rsidP="008F51FF">
      <w:pPr>
        <w:rPr>
          <w:b/>
          <w:sz w:val="28"/>
        </w:rPr>
      </w:pPr>
      <w:r>
        <w:rPr>
          <w:b/>
          <w:sz w:val="28"/>
        </w:rPr>
        <w:t xml:space="preserve">VGI Problem described with potential solutions for further study  </w:t>
      </w:r>
    </w:p>
    <w:p w14:paraId="391949BE" w14:textId="1A2ECCB3" w:rsidR="00552845" w:rsidRDefault="00552845" w:rsidP="008F51FF">
      <w:pPr>
        <w:rPr>
          <w:b/>
          <w:sz w:val="28"/>
        </w:rPr>
      </w:pPr>
      <w:r>
        <w:rPr>
          <w:b/>
          <w:sz w:val="28"/>
        </w:rPr>
        <w:t xml:space="preserve">Submitted by Dean Taylor SCE and Bill Boyce SMUD </w:t>
      </w:r>
    </w:p>
    <w:p w14:paraId="6811E2C7" w14:textId="77777777" w:rsidR="00013CD8" w:rsidRPr="00013CD8" w:rsidRDefault="00013CD8" w:rsidP="00C63F47">
      <w:pPr>
        <w:pStyle w:val="ListParagraph"/>
        <w:ind w:left="360"/>
      </w:pPr>
    </w:p>
    <w:p w14:paraId="0842AA41" w14:textId="45BF5D05" w:rsidR="00E03A77" w:rsidRPr="000A1204" w:rsidRDefault="00E03A77" w:rsidP="008B3178">
      <w:pPr>
        <w:pStyle w:val="ListParagraph"/>
        <w:numPr>
          <w:ilvl w:val="0"/>
          <w:numId w:val="1"/>
        </w:numPr>
        <w:rPr>
          <w:sz w:val="23"/>
          <w:szCs w:val="23"/>
        </w:rPr>
      </w:pPr>
      <w:r w:rsidRPr="000A1204">
        <w:rPr>
          <w:b/>
          <w:sz w:val="23"/>
          <w:szCs w:val="23"/>
          <w:u w:val="single"/>
        </w:rPr>
        <w:t>Problem</w:t>
      </w:r>
      <w:r w:rsidR="00622F83" w:rsidRPr="000A1204">
        <w:rPr>
          <w:b/>
          <w:sz w:val="23"/>
          <w:szCs w:val="23"/>
          <w:u w:val="single"/>
        </w:rPr>
        <w:t>/Hypothesis</w:t>
      </w:r>
      <w:r w:rsidRPr="000A1204">
        <w:rPr>
          <w:b/>
          <w:sz w:val="23"/>
          <w:szCs w:val="23"/>
          <w:u w:val="single"/>
        </w:rPr>
        <w:t xml:space="preserve">: High kW impact charging at single family residences </w:t>
      </w:r>
      <w:r w:rsidR="00390E49" w:rsidRPr="000A1204">
        <w:rPr>
          <w:b/>
          <w:sz w:val="23"/>
          <w:szCs w:val="23"/>
          <w:u w:val="single"/>
        </w:rPr>
        <w:t xml:space="preserve">(attached or detached), fleets or long-dwell locations </w:t>
      </w:r>
      <w:r w:rsidRPr="000A1204">
        <w:rPr>
          <w:b/>
          <w:sz w:val="23"/>
          <w:szCs w:val="23"/>
          <w:u w:val="single"/>
        </w:rPr>
        <w:t>is encouraged</w:t>
      </w:r>
      <w:r w:rsidR="00D5459E" w:rsidRPr="000A1204">
        <w:rPr>
          <w:b/>
          <w:sz w:val="23"/>
          <w:szCs w:val="23"/>
          <w:u w:val="single"/>
        </w:rPr>
        <w:t xml:space="preserve"> as much as </w:t>
      </w:r>
      <w:r w:rsidRPr="000A1204">
        <w:rPr>
          <w:b/>
          <w:sz w:val="23"/>
          <w:szCs w:val="23"/>
          <w:u w:val="single"/>
        </w:rPr>
        <w:t>low kW impact charging</w:t>
      </w:r>
      <w:r w:rsidR="001436F7" w:rsidRPr="000A1204">
        <w:rPr>
          <w:sz w:val="23"/>
          <w:szCs w:val="23"/>
        </w:rPr>
        <w:t xml:space="preserve">   Solutions (listed below) to this problem address one or more of following grid or site / EV driver needs:  1) Electric bill reduction for EV drivers or site hosts  2) Stronger price signal to avoid kW during ramp   3) Strong price signal (kW) to help with renewable integration  4)  deferral of distribution upgrades  5) system utilization / load factor improvement / demand leveling (e.g. addition of nighttime load and avoiding system peaks)  6) EV adoption / cost-of-ownership improvement 7)  deferral of transmission and generation system upgrades.  </w:t>
      </w:r>
      <w:r w:rsidR="001436F7" w:rsidRPr="000A1204">
        <w:rPr>
          <w:sz w:val="23"/>
          <w:szCs w:val="23"/>
          <w:u w:val="single"/>
        </w:rPr>
        <w:t>Background:</w:t>
      </w:r>
      <w:r w:rsidR="001436F7" w:rsidRPr="000A1204">
        <w:rPr>
          <w:sz w:val="23"/>
          <w:szCs w:val="23"/>
        </w:rPr>
        <w:t xml:space="preserve"> demand charges (kW) can vary by time of day, just like energy charges (kWh) can. </w:t>
      </w:r>
      <w:r w:rsidR="00005A75" w:rsidRPr="000A1204">
        <w:rPr>
          <w:sz w:val="23"/>
          <w:szCs w:val="23"/>
        </w:rPr>
        <w:t xml:space="preserve"> SMUD has found that cost to the residential distribution system is impacted much more by the level of charging than by time of charging (TOU periods).</w:t>
      </w:r>
      <w:r w:rsidR="008B3178" w:rsidRPr="000A1204">
        <w:rPr>
          <w:sz w:val="23"/>
          <w:szCs w:val="23"/>
        </w:rPr>
        <w:t xml:space="preserve"> Reducing the basic burden on the grid will also reduce the need for the more complex and costly active control measures.</w:t>
      </w:r>
    </w:p>
    <w:p w14:paraId="008A2994" w14:textId="61F7D5DE" w:rsidR="00E03A77" w:rsidRPr="000A1204" w:rsidRDefault="0076565B" w:rsidP="00E03A77">
      <w:pPr>
        <w:pStyle w:val="ListParagraph"/>
        <w:numPr>
          <w:ilvl w:val="1"/>
          <w:numId w:val="1"/>
        </w:numPr>
        <w:rPr>
          <w:sz w:val="23"/>
          <w:szCs w:val="23"/>
        </w:rPr>
      </w:pPr>
      <w:r w:rsidRPr="000A1204">
        <w:rPr>
          <w:sz w:val="23"/>
          <w:szCs w:val="23"/>
          <w:u w:val="single"/>
        </w:rPr>
        <w:t xml:space="preserve">Commercial </w:t>
      </w:r>
      <w:r w:rsidR="00D7376C" w:rsidRPr="000A1204">
        <w:rPr>
          <w:sz w:val="23"/>
          <w:szCs w:val="23"/>
          <w:u w:val="single"/>
        </w:rPr>
        <w:t>solution</w:t>
      </w:r>
      <w:r w:rsidR="00D7376C" w:rsidRPr="000A1204">
        <w:rPr>
          <w:sz w:val="23"/>
          <w:szCs w:val="23"/>
        </w:rPr>
        <w:t>:</w:t>
      </w:r>
      <w:r w:rsidR="00390E49" w:rsidRPr="000A1204">
        <w:rPr>
          <w:sz w:val="23"/>
          <w:szCs w:val="23"/>
        </w:rPr>
        <w:t xml:space="preserve"> </w:t>
      </w:r>
      <w:r w:rsidR="00E03A77" w:rsidRPr="000A1204">
        <w:rPr>
          <w:sz w:val="23"/>
          <w:szCs w:val="23"/>
        </w:rPr>
        <w:t>Require IOU programs</w:t>
      </w:r>
      <w:r w:rsidR="00D7376C" w:rsidRPr="000A1204">
        <w:rPr>
          <w:sz w:val="23"/>
          <w:szCs w:val="23"/>
        </w:rPr>
        <w:t xml:space="preserve"> that use ratepayer funds for behind-the-meter charging infrastructure and/or charging stations</w:t>
      </w:r>
      <w:r w:rsidR="00E03A77" w:rsidRPr="000A1204">
        <w:rPr>
          <w:sz w:val="23"/>
          <w:szCs w:val="23"/>
        </w:rPr>
        <w:t xml:space="preserve"> to mainly offer 4 port charging stations with power sharing, power sequencing or simila</w:t>
      </w:r>
      <w:r w:rsidR="00D7376C" w:rsidRPr="000A1204">
        <w:rPr>
          <w:sz w:val="23"/>
          <w:szCs w:val="23"/>
        </w:rPr>
        <w:t xml:space="preserve">r technologies in order reduce costs to the grid and to the site-host or EV driver </w:t>
      </w:r>
    </w:p>
    <w:p w14:paraId="0C1B0E13" w14:textId="66176562" w:rsidR="007C75A3" w:rsidRPr="000A1204" w:rsidRDefault="007C75A3" w:rsidP="007C75A3">
      <w:pPr>
        <w:pStyle w:val="ListParagraph"/>
        <w:numPr>
          <w:ilvl w:val="2"/>
          <w:numId w:val="1"/>
        </w:numPr>
        <w:rPr>
          <w:sz w:val="23"/>
          <w:szCs w:val="23"/>
        </w:rPr>
      </w:pPr>
      <w:r w:rsidRPr="000A1204">
        <w:rPr>
          <w:sz w:val="23"/>
          <w:szCs w:val="23"/>
        </w:rPr>
        <w:t xml:space="preserve">Benefit:  Would substantially reduce (up to 75%) the demand charge portion of the site host’s bill which should, in turn, lead to lower bills for EV drivers in fleets, workplaces, and other commercial charging locations.  Upgrades to the distribution, transmission and </w:t>
      </w:r>
      <w:r w:rsidR="00036D31" w:rsidRPr="000A1204">
        <w:rPr>
          <w:sz w:val="23"/>
          <w:szCs w:val="23"/>
        </w:rPr>
        <w:t xml:space="preserve">generation systems would be </w:t>
      </w:r>
      <w:r w:rsidRPr="000A1204">
        <w:rPr>
          <w:sz w:val="23"/>
          <w:szCs w:val="23"/>
        </w:rPr>
        <w:t xml:space="preserve">deferred </w:t>
      </w:r>
      <w:r w:rsidR="00036D31" w:rsidRPr="000A1204">
        <w:rPr>
          <w:sz w:val="23"/>
          <w:szCs w:val="23"/>
        </w:rPr>
        <w:t xml:space="preserve">or avoided </w:t>
      </w:r>
      <w:r w:rsidRPr="000A1204">
        <w:rPr>
          <w:sz w:val="23"/>
          <w:szCs w:val="23"/>
        </w:rPr>
        <w:t xml:space="preserve">(up to 75%). Would need to be part of a demand response program, and would require a change in PUC policy.  The solution is viable and can be monetized  </w:t>
      </w:r>
    </w:p>
    <w:p w14:paraId="3551A6D6" w14:textId="68D225D5" w:rsidR="007C75A3" w:rsidRPr="000A1204" w:rsidRDefault="007C75A3" w:rsidP="007C75A3">
      <w:pPr>
        <w:pStyle w:val="ListParagraph"/>
        <w:numPr>
          <w:ilvl w:val="2"/>
          <w:numId w:val="1"/>
        </w:numPr>
        <w:rPr>
          <w:sz w:val="23"/>
          <w:szCs w:val="23"/>
        </w:rPr>
      </w:pPr>
      <w:r w:rsidRPr="000A1204">
        <w:rPr>
          <w:sz w:val="23"/>
          <w:szCs w:val="23"/>
        </w:rPr>
        <w:t xml:space="preserve">Background:  Several technologies have emerged that allow EV drivers to not have to move their EV after it is finished charging. Examples: 1) Charge sequencing is system on a multi-port charging station where the charging through the multiple ports is sequenced on a first-come-first-serve basis or need basis.  2) Charge sharing is a system on a multi-port charging station where the charging through the multiple ports is reduced as more EVs connect to the station on a first-come-first-serve basis or need basis. </w:t>
      </w:r>
    </w:p>
    <w:p w14:paraId="4F69BB73" w14:textId="76000037" w:rsidR="00E03A77" w:rsidRPr="000A1204" w:rsidRDefault="00390E49" w:rsidP="00E03A77">
      <w:pPr>
        <w:pStyle w:val="ListParagraph"/>
        <w:numPr>
          <w:ilvl w:val="1"/>
          <w:numId w:val="1"/>
        </w:numPr>
        <w:rPr>
          <w:sz w:val="23"/>
          <w:szCs w:val="23"/>
        </w:rPr>
      </w:pPr>
      <w:r w:rsidRPr="000A1204">
        <w:rPr>
          <w:sz w:val="23"/>
          <w:szCs w:val="23"/>
          <w:u w:val="single"/>
        </w:rPr>
        <w:t>Residential solution</w:t>
      </w:r>
      <w:r w:rsidR="00D7376C" w:rsidRPr="000A1204">
        <w:rPr>
          <w:sz w:val="23"/>
          <w:szCs w:val="23"/>
        </w:rPr>
        <w:t>:</w:t>
      </w:r>
      <w:r w:rsidRPr="000A1204">
        <w:rPr>
          <w:sz w:val="23"/>
          <w:szCs w:val="23"/>
        </w:rPr>
        <w:t xml:space="preserve"> </w:t>
      </w:r>
      <w:r w:rsidR="00E03A77" w:rsidRPr="000A1204">
        <w:rPr>
          <w:sz w:val="23"/>
          <w:szCs w:val="23"/>
        </w:rPr>
        <w:t xml:space="preserve">Require any IOU rebates </w:t>
      </w:r>
      <w:r w:rsidR="00036D31" w:rsidRPr="000A1204">
        <w:rPr>
          <w:sz w:val="23"/>
          <w:szCs w:val="23"/>
        </w:rPr>
        <w:t xml:space="preserve">or investments </w:t>
      </w:r>
      <w:r w:rsidR="00E03A77" w:rsidRPr="000A1204">
        <w:rPr>
          <w:sz w:val="23"/>
          <w:szCs w:val="23"/>
        </w:rPr>
        <w:t xml:space="preserve">for AC charging stations </w:t>
      </w:r>
      <w:r w:rsidR="00036D31" w:rsidRPr="000A1204">
        <w:rPr>
          <w:sz w:val="23"/>
          <w:szCs w:val="23"/>
        </w:rPr>
        <w:t xml:space="preserve">or charging infrastructure </w:t>
      </w:r>
      <w:r w:rsidR="00E03A77" w:rsidRPr="000A1204">
        <w:rPr>
          <w:sz w:val="23"/>
          <w:szCs w:val="23"/>
        </w:rPr>
        <w:t xml:space="preserve">to only be for 6.6 kW (useful rating) or less. </w:t>
      </w:r>
    </w:p>
    <w:p w14:paraId="77DC7F4A" w14:textId="73335584" w:rsidR="00390E49" w:rsidRPr="000A1204" w:rsidRDefault="00390E49" w:rsidP="00390E49">
      <w:pPr>
        <w:pStyle w:val="ListParagraph"/>
        <w:numPr>
          <w:ilvl w:val="2"/>
          <w:numId w:val="1"/>
        </w:numPr>
        <w:rPr>
          <w:sz w:val="23"/>
          <w:szCs w:val="23"/>
        </w:rPr>
      </w:pPr>
      <w:r w:rsidRPr="000A1204">
        <w:rPr>
          <w:sz w:val="23"/>
          <w:szCs w:val="23"/>
        </w:rPr>
        <w:t xml:space="preserve">Benefit:  </w:t>
      </w:r>
      <w:r w:rsidR="007C75A3" w:rsidRPr="000A1204">
        <w:rPr>
          <w:sz w:val="23"/>
          <w:szCs w:val="23"/>
        </w:rPr>
        <w:t xml:space="preserve">Would encourage, but not require lower level charging at residences (not MUD common areas which are commercial customers), but not having all utility customers pay for higher levels of charging. </w:t>
      </w:r>
      <w:r w:rsidR="00036D31" w:rsidRPr="000A1204">
        <w:rPr>
          <w:sz w:val="23"/>
          <w:szCs w:val="23"/>
        </w:rPr>
        <w:t xml:space="preserve">  </w:t>
      </w:r>
    </w:p>
    <w:p w14:paraId="11C8B1C9" w14:textId="5CADC675" w:rsidR="00390E49" w:rsidRPr="000A1204" w:rsidRDefault="00390E49" w:rsidP="00390E49">
      <w:pPr>
        <w:pStyle w:val="ListParagraph"/>
        <w:numPr>
          <w:ilvl w:val="2"/>
          <w:numId w:val="1"/>
        </w:numPr>
        <w:rPr>
          <w:sz w:val="23"/>
          <w:szCs w:val="23"/>
        </w:rPr>
      </w:pPr>
      <w:r w:rsidRPr="000A1204">
        <w:rPr>
          <w:sz w:val="23"/>
          <w:szCs w:val="23"/>
        </w:rPr>
        <w:t xml:space="preserve">Background:  </w:t>
      </w:r>
      <w:r w:rsidR="007C75A3" w:rsidRPr="000A1204">
        <w:rPr>
          <w:sz w:val="23"/>
          <w:szCs w:val="23"/>
        </w:rPr>
        <w:t xml:space="preserve">Level 2 </w:t>
      </w:r>
      <w:r w:rsidR="00036D31" w:rsidRPr="000A1204">
        <w:rPr>
          <w:sz w:val="23"/>
          <w:szCs w:val="23"/>
        </w:rPr>
        <w:t xml:space="preserve">charging can go up to 19.2 kW. </w:t>
      </w:r>
      <w:r w:rsidR="007C75A3" w:rsidRPr="000A1204">
        <w:rPr>
          <w:sz w:val="23"/>
          <w:szCs w:val="23"/>
        </w:rPr>
        <w:t xml:space="preserve">Some automakers off this today, and more and more automakers have expressed their intent or interest in offering this.  </w:t>
      </w:r>
      <w:r w:rsidR="00036D31" w:rsidRPr="000A1204">
        <w:rPr>
          <w:sz w:val="23"/>
          <w:szCs w:val="23"/>
        </w:rPr>
        <w:t xml:space="preserve">Upgrades to the distribution, transmission and generation systems would be deferred or avoided.  This solution is viable and has a monetary benefit to ratepayers, but would require a PUC policy change.    It is not know precisely today how much charging is done at different levels, but approximately half is </w:t>
      </w:r>
      <w:r w:rsidR="00036D31" w:rsidRPr="000A1204">
        <w:rPr>
          <w:sz w:val="23"/>
          <w:szCs w:val="23"/>
        </w:rPr>
        <w:lastRenderedPageBreak/>
        <w:t xml:space="preserve">done at lower levels (less than 3.3 kW).  Level 2 charging is typically done at 6.6 kW. </w:t>
      </w:r>
    </w:p>
    <w:p w14:paraId="26491CD2" w14:textId="1C33E700" w:rsidR="00E03A77" w:rsidRPr="000A1204" w:rsidRDefault="00390E49" w:rsidP="00E03A77">
      <w:pPr>
        <w:pStyle w:val="ListParagraph"/>
        <w:numPr>
          <w:ilvl w:val="1"/>
          <w:numId w:val="1"/>
        </w:numPr>
        <w:rPr>
          <w:sz w:val="23"/>
          <w:szCs w:val="23"/>
        </w:rPr>
      </w:pPr>
      <w:r w:rsidRPr="000A1204">
        <w:rPr>
          <w:sz w:val="23"/>
          <w:szCs w:val="23"/>
          <w:u w:val="single"/>
        </w:rPr>
        <w:t>Residential solution</w:t>
      </w:r>
      <w:r w:rsidRPr="000A1204">
        <w:rPr>
          <w:sz w:val="23"/>
          <w:szCs w:val="23"/>
        </w:rPr>
        <w:t xml:space="preserve">: </w:t>
      </w:r>
      <w:r w:rsidR="00005A75" w:rsidRPr="000A1204">
        <w:rPr>
          <w:sz w:val="23"/>
          <w:szCs w:val="23"/>
        </w:rPr>
        <w:t>Eventually r</w:t>
      </w:r>
      <w:r w:rsidR="00E03A77" w:rsidRPr="000A1204">
        <w:rPr>
          <w:sz w:val="23"/>
          <w:szCs w:val="23"/>
        </w:rPr>
        <w:t xml:space="preserve">eform allowance policy to apply to residential customers with EVs and home loads above </w:t>
      </w:r>
      <w:r w:rsidR="00036D31" w:rsidRPr="000A1204">
        <w:rPr>
          <w:sz w:val="23"/>
          <w:szCs w:val="23"/>
        </w:rPr>
        <w:t xml:space="preserve">a certain level (e.g. </w:t>
      </w:r>
      <w:r w:rsidR="00E03A77" w:rsidRPr="000A1204">
        <w:rPr>
          <w:sz w:val="23"/>
          <w:szCs w:val="23"/>
        </w:rPr>
        <w:t>10 kW</w:t>
      </w:r>
      <w:r w:rsidR="00036D31" w:rsidRPr="000A1204">
        <w:rPr>
          <w:sz w:val="23"/>
          <w:szCs w:val="23"/>
        </w:rPr>
        <w:t xml:space="preserve">.  Note they currently are exempt. </w:t>
      </w:r>
      <w:r w:rsidR="00E03A77" w:rsidRPr="000A1204">
        <w:rPr>
          <w:sz w:val="23"/>
          <w:szCs w:val="23"/>
        </w:rPr>
        <w:t xml:space="preserve">  </w:t>
      </w:r>
    </w:p>
    <w:p w14:paraId="71D34303" w14:textId="3BC0A846" w:rsidR="00390E49" w:rsidRPr="000A1204" w:rsidRDefault="00390E49" w:rsidP="00390E49">
      <w:pPr>
        <w:pStyle w:val="ListParagraph"/>
        <w:numPr>
          <w:ilvl w:val="2"/>
          <w:numId w:val="1"/>
        </w:numPr>
        <w:rPr>
          <w:sz w:val="23"/>
          <w:szCs w:val="23"/>
        </w:rPr>
      </w:pPr>
      <w:r w:rsidRPr="000A1204">
        <w:rPr>
          <w:sz w:val="23"/>
          <w:szCs w:val="23"/>
        </w:rPr>
        <w:t xml:space="preserve">Benefit:  </w:t>
      </w:r>
      <w:r w:rsidR="00036D31" w:rsidRPr="000A1204">
        <w:rPr>
          <w:sz w:val="23"/>
          <w:szCs w:val="23"/>
        </w:rPr>
        <w:t>Similar to above, would encourage, but not require lower level charging. Would apply more broadly to those utilities who do not offer charging station or charging infrastructure programs.</w:t>
      </w:r>
    </w:p>
    <w:p w14:paraId="2F1DB0C1" w14:textId="5F7B7133" w:rsidR="00390E49" w:rsidRPr="000A1204" w:rsidRDefault="00036D31" w:rsidP="00390E49">
      <w:pPr>
        <w:pStyle w:val="ListParagraph"/>
        <w:numPr>
          <w:ilvl w:val="2"/>
          <w:numId w:val="1"/>
        </w:numPr>
        <w:rPr>
          <w:sz w:val="23"/>
          <w:szCs w:val="23"/>
        </w:rPr>
      </w:pPr>
      <w:r w:rsidRPr="000A1204">
        <w:rPr>
          <w:sz w:val="23"/>
          <w:szCs w:val="23"/>
        </w:rPr>
        <w:t xml:space="preserve">Background: Similar benefits to above.  </w:t>
      </w:r>
    </w:p>
    <w:p w14:paraId="5DE374C3" w14:textId="39D68AB8" w:rsidR="00E03A77" w:rsidRPr="000A1204" w:rsidRDefault="00390E49" w:rsidP="00E03A77">
      <w:pPr>
        <w:pStyle w:val="ListParagraph"/>
        <w:numPr>
          <w:ilvl w:val="1"/>
          <w:numId w:val="1"/>
        </w:numPr>
        <w:rPr>
          <w:sz w:val="23"/>
          <w:szCs w:val="23"/>
        </w:rPr>
      </w:pPr>
      <w:r w:rsidRPr="000A1204">
        <w:rPr>
          <w:sz w:val="23"/>
          <w:szCs w:val="23"/>
          <w:u w:val="single"/>
        </w:rPr>
        <w:t>Residential and commercial solution</w:t>
      </w:r>
      <w:r w:rsidRPr="000A1204">
        <w:rPr>
          <w:sz w:val="23"/>
          <w:szCs w:val="23"/>
        </w:rPr>
        <w:t xml:space="preserve">: </w:t>
      </w:r>
      <w:r w:rsidR="00E03A77" w:rsidRPr="000A1204">
        <w:rPr>
          <w:sz w:val="23"/>
          <w:szCs w:val="23"/>
        </w:rPr>
        <w:t xml:space="preserve">Reform allowance policy to </w:t>
      </w:r>
      <w:r w:rsidR="00E03A77" w:rsidRPr="000A1204">
        <w:rPr>
          <w:sz w:val="23"/>
          <w:szCs w:val="23"/>
          <w:u w:val="single"/>
        </w:rPr>
        <w:t xml:space="preserve">not </w:t>
      </w:r>
      <w:r w:rsidR="00E03A77" w:rsidRPr="000A1204">
        <w:rPr>
          <w:sz w:val="23"/>
          <w:szCs w:val="23"/>
        </w:rPr>
        <w:t xml:space="preserve">exempt areas with at or near-capacity distribution circuits </w:t>
      </w:r>
    </w:p>
    <w:p w14:paraId="34EBA945" w14:textId="28D7BB62" w:rsidR="00390E49" w:rsidRPr="000A1204" w:rsidRDefault="00036D31" w:rsidP="00390E49">
      <w:pPr>
        <w:pStyle w:val="ListParagraph"/>
        <w:numPr>
          <w:ilvl w:val="2"/>
          <w:numId w:val="1"/>
        </w:numPr>
        <w:rPr>
          <w:sz w:val="23"/>
          <w:szCs w:val="23"/>
        </w:rPr>
      </w:pPr>
      <w:r w:rsidRPr="000A1204">
        <w:rPr>
          <w:sz w:val="23"/>
          <w:szCs w:val="23"/>
        </w:rPr>
        <w:t xml:space="preserve">Benefit: Similar to above, but more narrowly focused only on distribution circuits without much additional capacity. </w:t>
      </w:r>
    </w:p>
    <w:p w14:paraId="3039A22B" w14:textId="455CE4BA" w:rsidR="00390E49" w:rsidRPr="000A1204" w:rsidRDefault="00390E49" w:rsidP="00390E49">
      <w:pPr>
        <w:pStyle w:val="ListParagraph"/>
        <w:numPr>
          <w:ilvl w:val="2"/>
          <w:numId w:val="1"/>
        </w:numPr>
        <w:rPr>
          <w:sz w:val="23"/>
          <w:szCs w:val="23"/>
        </w:rPr>
      </w:pPr>
      <w:r w:rsidRPr="000A1204">
        <w:rPr>
          <w:sz w:val="23"/>
          <w:szCs w:val="23"/>
        </w:rPr>
        <w:t xml:space="preserve">Background:  </w:t>
      </w:r>
      <w:r w:rsidR="00036D31" w:rsidRPr="000A1204">
        <w:rPr>
          <w:sz w:val="23"/>
          <w:szCs w:val="23"/>
        </w:rPr>
        <w:t xml:space="preserve">Similar to above. </w:t>
      </w:r>
    </w:p>
    <w:p w14:paraId="7A0339D3" w14:textId="7CA1D4DF" w:rsidR="00E03A77" w:rsidRPr="000A1204" w:rsidRDefault="00390E49" w:rsidP="00D7376C">
      <w:pPr>
        <w:pStyle w:val="ListParagraph"/>
        <w:numPr>
          <w:ilvl w:val="1"/>
          <w:numId w:val="1"/>
        </w:numPr>
        <w:rPr>
          <w:sz w:val="23"/>
          <w:szCs w:val="23"/>
        </w:rPr>
      </w:pPr>
      <w:r w:rsidRPr="000A1204">
        <w:rPr>
          <w:sz w:val="23"/>
          <w:szCs w:val="23"/>
          <w:u w:val="single"/>
        </w:rPr>
        <w:t>Residential and commercial solution</w:t>
      </w:r>
      <w:r w:rsidRPr="000A1204">
        <w:rPr>
          <w:sz w:val="23"/>
          <w:szCs w:val="23"/>
        </w:rPr>
        <w:t xml:space="preserve">: </w:t>
      </w:r>
      <w:r w:rsidR="00D7376C" w:rsidRPr="000A1204">
        <w:rPr>
          <w:sz w:val="23"/>
          <w:szCs w:val="23"/>
        </w:rPr>
        <w:t xml:space="preserve">Add V1G (managed charging) as eligible under the existing or an expanded storage mandate </w:t>
      </w:r>
    </w:p>
    <w:p w14:paraId="0431D440" w14:textId="77777777" w:rsidR="00294885" w:rsidRPr="000A1204" w:rsidRDefault="00294885" w:rsidP="00294885">
      <w:pPr>
        <w:pStyle w:val="ListParagraph"/>
        <w:numPr>
          <w:ilvl w:val="2"/>
          <w:numId w:val="1"/>
        </w:numPr>
        <w:rPr>
          <w:sz w:val="23"/>
          <w:szCs w:val="23"/>
        </w:rPr>
      </w:pPr>
      <w:r w:rsidRPr="000A1204">
        <w:rPr>
          <w:sz w:val="23"/>
          <w:szCs w:val="23"/>
        </w:rPr>
        <w:t xml:space="preserve">Benefit: Under this solution IOUs would pay for V1G similar to how they pay for storage today.  All utility customers should benefit as the price paid should be somewhat less than the current price paid for storage (i.e., the consumer already had paid for the EV compared to the IOU having to pay for new storage to be built).  This solution can be monetized and is viable. </w:t>
      </w:r>
    </w:p>
    <w:p w14:paraId="6F1342A7" w14:textId="0E6FB3AB" w:rsidR="00294885" w:rsidRPr="000A1204" w:rsidRDefault="00294885" w:rsidP="00294885">
      <w:pPr>
        <w:pStyle w:val="ListParagraph"/>
        <w:numPr>
          <w:ilvl w:val="2"/>
          <w:numId w:val="1"/>
        </w:numPr>
        <w:rPr>
          <w:sz w:val="23"/>
          <w:szCs w:val="23"/>
        </w:rPr>
      </w:pPr>
      <w:r w:rsidRPr="000A1204">
        <w:rPr>
          <w:sz w:val="23"/>
          <w:szCs w:val="23"/>
        </w:rPr>
        <w:t xml:space="preserve">Background:  Currently V2G, capturing regen braking on trains, “permanent load shift” technologies, </w:t>
      </w:r>
      <w:r w:rsidR="00D632BD" w:rsidRPr="000A1204">
        <w:rPr>
          <w:sz w:val="23"/>
          <w:szCs w:val="23"/>
        </w:rPr>
        <w:t>and ice storage are all allowed</w:t>
      </w:r>
      <w:r w:rsidRPr="000A1204">
        <w:rPr>
          <w:sz w:val="23"/>
          <w:szCs w:val="23"/>
        </w:rPr>
        <w:t xml:space="preserve"> under the existing storage mandate, but V1G is not</w:t>
      </w:r>
      <w:r w:rsidR="00D632BD" w:rsidRPr="000A1204">
        <w:rPr>
          <w:sz w:val="23"/>
          <w:szCs w:val="23"/>
        </w:rPr>
        <w:t xml:space="preserve"> allowed</w:t>
      </w:r>
      <w:r w:rsidRPr="000A1204">
        <w:rPr>
          <w:sz w:val="23"/>
          <w:szCs w:val="23"/>
        </w:rPr>
        <w:t xml:space="preserve">, although it can provide the same or similar benefits as these other solutions.  In 2013 and 2015 a diverse group of stakeholders including the Auto Alliance, TURN, NRDC, three IOUs, and some charging station companies made the case for adding V1G as eligible under the storage mandate but were unsuccessful.  </w:t>
      </w:r>
    </w:p>
    <w:p w14:paraId="41DCBCDA" w14:textId="1E66C339" w:rsidR="00390E49" w:rsidRPr="000A1204" w:rsidRDefault="00390E49" w:rsidP="00E03A77">
      <w:pPr>
        <w:pStyle w:val="ListParagraph"/>
        <w:numPr>
          <w:ilvl w:val="1"/>
          <w:numId w:val="1"/>
        </w:numPr>
        <w:rPr>
          <w:sz w:val="23"/>
          <w:szCs w:val="23"/>
        </w:rPr>
      </w:pPr>
      <w:r w:rsidRPr="000A1204">
        <w:rPr>
          <w:sz w:val="23"/>
          <w:szCs w:val="23"/>
          <w:u w:val="single"/>
        </w:rPr>
        <w:t>Residential solution</w:t>
      </w:r>
      <w:r w:rsidRPr="000A1204">
        <w:rPr>
          <w:sz w:val="23"/>
          <w:szCs w:val="23"/>
        </w:rPr>
        <w:t xml:space="preserve">: Add demand charges or higher fixed </w:t>
      </w:r>
      <w:r w:rsidR="0076565B" w:rsidRPr="000A1204">
        <w:rPr>
          <w:sz w:val="23"/>
          <w:szCs w:val="23"/>
        </w:rPr>
        <w:t xml:space="preserve">monthly </w:t>
      </w:r>
      <w:r w:rsidRPr="000A1204">
        <w:rPr>
          <w:sz w:val="23"/>
          <w:szCs w:val="23"/>
        </w:rPr>
        <w:t>charges  to residential loads in high impact cases</w:t>
      </w:r>
      <w:r w:rsidR="0076565B" w:rsidRPr="000A1204">
        <w:rPr>
          <w:sz w:val="23"/>
          <w:szCs w:val="23"/>
        </w:rPr>
        <w:t xml:space="preserve"> (e.g. above 10 kW load per residence) </w:t>
      </w:r>
    </w:p>
    <w:p w14:paraId="6177FAC7" w14:textId="535A1773" w:rsidR="00390E49" w:rsidRPr="000A1204" w:rsidRDefault="00E03A77" w:rsidP="00390E49">
      <w:pPr>
        <w:pStyle w:val="ListParagraph"/>
        <w:numPr>
          <w:ilvl w:val="2"/>
          <w:numId w:val="1"/>
        </w:numPr>
        <w:rPr>
          <w:sz w:val="23"/>
          <w:szCs w:val="23"/>
        </w:rPr>
      </w:pPr>
      <w:r w:rsidRPr="000A1204">
        <w:rPr>
          <w:sz w:val="23"/>
          <w:szCs w:val="23"/>
        </w:rPr>
        <w:t xml:space="preserve"> </w:t>
      </w:r>
      <w:r w:rsidR="00390E49" w:rsidRPr="000A1204">
        <w:rPr>
          <w:sz w:val="23"/>
          <w:szCs w:val="23"/>
        </w:rPr>
        <w:t xml:space="preserve">Benefit:  </w:t>
      </w:r>
      <w:r w:rsidR="00036D31" w:rsidRPr="000A1204">
        <w:rPr>
          <w:sz w:val="23"/>
          <w:szCs w:val="23"/>
        </w:rPr>
        <w:t xml:space="preserve">Discourages high levels of residential charging. </w:t>
      </w:r>
    </w:p>
    <w:p w14:paraId="68CE3D73" w14:textId="424268F9" w:rsidR="00E03A77" w:rsidRPr="000A1204" w:rsidRDefault="00390E49" w:rsidP="0076565B">
      <w:pPr>
        <w:pStyle w:val="ListParagraph"/>
        <w:numPr>
          <w:ilvl w:val="2"/>
          <w:numId w:val="1"/>
        </w:numPr>
        <w:rPr>
          <w:sz w:val="23"/>
          <w:szCs w:val="23"/>
        </w:rPr>
      </w:pPr>
      <w:r w:rsidRPr="000A1204">
        <w:rPr>
          <w:sz w:val="23"/>
          <w:szCs w:val="23"/>
        </w:rPr>
        <w:t xml:space="preserve">Background:  </w:t>
      </w:r>
      <w:r w:rsidR="00036D31" w:rsidRPr="000A1204">
        <w:rPr>
          <w:sz w:val="23"/>
          <w:szCs w:val="23"/>
        </w:rPr>
        <w:t xml:space="preserve">Two utilities in Arizona require demand charges on residential accounts, so this tool has been used before and is viable.  </w:t>
      </w:r>
    </w:p>
    <w:p w14:paraId="4716DE07" w14:textId="428EBA55" w:rsidR="00E02409" w:rsidRPr="000A1204" w:rsidRDefault="00E02409" w:rsidP="00AE05D3">
      <w:pPr>
        <w:pStyle w:val="PlainText"/>
        <w:numPr>
          <w:ilvl w:val="1"/>
          <w:numId w:val="1"/>
        </w:numPr>
        <w:rPr>
          <w:sz w:val="23"/>
          <w:szCs w:val="23"/>
        </w:rPr>
      </w:pPr>
      <w:r w:rsidRPr="000A1204">
        <w:rPr>
          <w:sz w:val="23"/>
          <w:szCs w:val="23"/>
          <w:u w:val="single"/>
        </w:rPr>
        <w:t>C</w:t>
      </w:r>
      <w:r w:rsidR="0076565B" w:rsidRPr="000A1204">
        <w:rPr>
          <w:sz w:val="23"/>
          <w:szCs w:val="23"/>
          <w:u w:val="single"/>
        </w:rPr>
        <w:t>ommercial Solution</w:t>
      </w:r>
      <w:r w:rsidR="0076565B" w:rsidRPr="000A1204">
        <w:rPr>
          <w:sz w:val="23"/>
          <w:szCs w:val="23"/>
        </w:rPr>
        <w:t xml:space="preserve"> – </w:t>
      </w:r>
      <w:r w:rsidR="00AE05D3" w:rsidRPr="000A1204">
        <w:rPr>
          <w:sz w:val="23"/>
          <w:szCs w:val="23"/>
        </w:rPr>
        <w:t xml:space="preserve">Encourage commercial EV adoption through supporting the use of load management systems (power sharing, power sequencing, parking lot EMS, etc.)by using utility LCFS funding   The devices reduce grid impacts to benefit all rate payers and also help the individual customers control/lower their charging costs making transportation electrification affordable.  However, this would require </w:t>
      </w:r>
      <w:r w:rsidRPr="000A1204">
        <w:rPr>
          <w:sz w:val="23"/>
          <w:szCs w:val="23"/>
        </w:rPr>
        <w:t xml:space="preserve">fleets, public-access </w:t>
      </w:r>
      <w:r w:rsidR="00AE05D3" w:rsidRPr="000A1204">
        <w:rPr>
          <w:sz w:val="23"/>
          <w:szCs w:val="23"/>
        </w:rPr>
        <w:t xml:space="preserve">charging sites or workplaces to </w:t>
      </w:r>
      <w:r w:rsidRPr="000A1204">
        <w:rPr>
          <w:sz w:val="23"/>
          <w:szCs w:val="23"/>
        </w:rPr>
        <w:t xml:space="preserve">not </w:t>
      </w:r>
      <w:r w:rsidR="00AE05D3" w:rsidRPr="000A1204">
        <w:rPr>
          <w:sz w:val="23"/>
          <w:szCs w:val="23"/>
        </w:rPr>
        <w:t>generate their own LCFS credits,</w:t>
      </w:r>
      <w:r w:rsidRPr="000A1204">
        <w:rPr>
          <w:sz w:val="23"/>
          <w:szCs w:val="23"/>
        </w:rPr>
        <w:t xml:space="preserve"> </w:t>
      </w:r>
    </w:p>
    <w:p w14:paraId="535080D8" w14:textId="1844C303" w:rsidR="00E02409" w:rsidRPr="000A1204" w:rsidRDefault="00036D31" w:rsidP="00A67465">
      <w:pPr>
        <w:pStyle w:val="ListParagraph"/>
        <w:numPr>
          <w:ilvl w:val="2"/>
          <w:numId w:val="1"/>
        </w:numPr>
        <w:rPr>
          <w:rFonts w:ascii="Calibri" w:hAnsi="Calibri"/>
          <w:sz w:val="23"/>
          <w:szCs w:val="23"/>
        </w:rPr>
      </w:pPr>
      <w:r w:rsidRPr="000A1204">
        <w:rPr>
          <w:sz w:val="23"/>
          <w:szCs w:val="23"/>
        </w:rPr>
        <w:t>Benefit:  Encourages but does not require use of systems that can lower demand charges for EVs by up to 75%</w:t>
      </w:r>
      <w:r w:rsidR="00A67465" w:rsidRPr="000A1204">
        <w:rPr>
          <w:sz w:val="23"/>
          <w:szCs w:val="23"/>
        </w:rPr>
        <w:t xml:space="preserve">. </w:t>
      </w:r>
      <w:r w:rsidR="00A67465" w:rsidRPr="000A1204">
        <w:rPr>
          <w:rFonts w:ascii="Calibri" w:hAnsi="Calibri"/>
          <w:sz w:val="23"/>
          <w:szCs w:val="23"/>
        </w:rPr>
        <w:t xml:space="preserve">LCFS revenues to utilities for non-residential charging can lower electric rates in favorable times compared to what utilities could normally offer under rate-design principles:  about 6 – 10 cents per kWh reduction depending on $/ton of LCFS and other factors.  This solution instead of offering a cents per kWh reduction would instead offer an up-front rebate (check-in-the mail) to pay for some or all of the cost of these demand </w:t>
      </w:r>
      <w:r w:rsidR="00A67465" w:rsidRPr="000A1204">
        <w:rPr>
          <w:rFonts w:ascii="Calibri" w:hAnsi="Calibri"/>
          <w:sz w:val="23"/>
          <w:szCs w:val="23"/>
        </w:rPr>
        <w:lastRenderedPageBreak/>
        <w:t xml:space="preserve">management systems.  This solution is viable and the benefit can be monetized, but would require policy approval by the CPUC.  </w:t>
      </w:r>
    </w:p>
    <w:p w14:paraId="526BB130" w14:textId="1CCFA0F5" w:rsidR="00E02409" w:rsidRPr="000A1204" w:rsidRDefault="00A67465" w:rsidP="00A67465">
      <w:pPr>
        <w:pStyle w:val="PlainText"/>
        <w:numPr>
          <w:ilvl w:val="2"/>
          <w:numId w:val="1"/>
        </w:numPr>
        <w:rPr>
          <w:sz w:val="23"/>
          <w:szCs w:val="23"/>
        </w:rPr>
      </w:pPr>
      <w:r w:rsidRPr="000A1204">
        <w:rPr>
          <w:sz w:val="23"/>
          <w:szCs w:val="23"/>
        </w:rPr>
        <w:t xml:space="preserve">Background:  CARB’s LCFS program allows non-residential charging locations two choices: either generate LCFS credits by separate kWh metering, sell the credits to generate cash, and be subject to CARB regulations or 2) have the utilities do this.    </w:t>
      </w:r>
    </w:p>
    <w:p w14:paraId="0C4138AE" w14:textId="3713ABA4" w:rsidR="00C154A3" w:rsidRDefault="00C154A3" w:rsidP="00E03A77">
      <w:pPr>
        <w:pStyle w:val="ListParagraph"/>
        <w:numPr>
          <w:ilvl w:val="1"/>
          <w:numId w:val="1"/>
        </w:numPr>
        <w:rPr>
          <w:sz w:val="23"/>
          <w:szCs w:val="23"/>
        </w:rPr>
      </w:pPr>
      <w:r>
        <w:rPr>
          <w:sz w:val="23"/>
          <w:szCs w:val="23"/>
        </w:rPr>
        <w:t xml:space="preserve">Commercial solution: Offer rates with demand charges as low as possible and with phase-in period (e.g. 10 years) to allow time for customers to learn load management and increase their load factor. </w:t>
      </w:r>
    </w:p>
    <w:p w14:paraId="396A1E28" w14:textId="3DA4D549" w:rsidR="00C154A3" w:rsidRDefault="00C154A3" w:rsidP="00C154A3">
      <w:pPr>
        <w:pStyle w:val="ListParagraph"/>
        <w:numPr>
          <w:ilvl w:val="2"/>
          <w:numId w:val="1"/>
        </w:numPr>
        <w:rPr>
          <w:sz w:val="23"/>
          <w:szCs w:val="23"/>
        </w:rPr>
      </w:pPr>
      <w:r>
        <w:rPr>
          <w:sz w:val="23"/>
          <w:szCs w:val="23"/>
        </w:rPr>
        <w:t>Benefit:  Provides time for customers unfamiliar with load management to adjust charging behavi</w:t>
      </w:r>
      <w:r w:rsidR="005A64B4">
        <w:rPr>
          <w:sz w:val="23"/>
          <w:szCs w:val="23"/>
        </w:rPr>
        <w:t xml:space="preserve">or.  </w:t>
      </w:r>
      <w:bookmarkStart w:id="0" w:name="_GoBack"/>
      <w:bookmarkEnd w:id="0"/>
      <w:r>
        <w:rPr>
          <w:sz w:val="23"/>
          <w:szCs w:val="23"/>
        </w:rPr>
        <w:t>Uses a rate design logic similar to economic development rates</w:t>
      </w:r>
      <w:r w:rsidR="005A64B4">
        <w:rPr>
          <w:sz w:val="23"/>
          <w:szCs w:val="23"/>
        </w:rPr>
        <w:t xml:space="preserve">.  Encourages large scale adoption over time. </w:t>
      </w:r>
    </w:p>
    <w:p w14:paraId="05B14413" w14:textId="77777777" w:rsidR="00C154A3" w:rsidRDefault="00C154A3" w:rsidP="00C154A3">
      <w:pPr>
        <w:pStyle w:val="ListParagraph"/>
        <w:numPr>
          <w:ilvl w:val="2"/>
          <w:numId w:val="1"/>
        </w:numPr>
        <w:rPr>
          <w:sz w:val="23"/>
          <w:szCs w:val="23"/>
        </w:rPr>
      </w:pPr>
      <w:r>
        <w:rPr>
          <w:sz w:val="23"/>
          <w:szCs w:val="23"/>
        </w:rPr>
        <w:t xml:space="preserve">Background:   Demand charges (combined with energy charges) are favorable to customers with high load factors (e.g. 50%) but are typically found to be a barrier for EV accounts with low load factors (typical for early adopters).  </w:t>
      </w:r>
    </w:p>
    <w:p w14:paraId="5019EFDC" w14:textId="77777777" w:rsidR="00C154A3" w:rsidRDefault="00C154A3" w:rsidP="00C154A3">
      <w:pPr>
        <w:pStyle w:val="ListParagraph"/>
        <w:numPr>
          <w:ilvl w:val="2"/>
          <w:numId w:val="1"/>
        </w:numPr>
        <w:rPr>
          <w:sz w:val="23"/>
          <w:szCs w:val="23"/>
        </w:rPr>
      </w:pPr>
      <w:r>
        <w:rPr>
          <w:sz w:val="23"/>
          <w:szCs w:val="23"/>
        </w:rPr>
        <w:t xml:space="preserve">Example solutions: </w:t>
      </w:r>
    </w:p>
    <w:p w14:paraId="799F73F5" w14:textId="77777777" w:rsidR="00C154A3" w:rsidRDefault="00C154A3" w:rsidP="00C154A3">
      <w:pPr>
        <w:pStyle w:val="ListParagraph"/>
        <w:numPr>
          <w:ilvl w:val="3"/>
          <w:numId w:val="1"/>
        </w:numPr>
        <w:rPr>
          <w:sz w:val="23"/>
          <w:szCs w:val="23"/>
        </w:rPr>
      </w:pPr>
      <w:r>
        <w:rPr>
          <w:sz w:val="23"/>
          <w:szCs w:val="23"/>
        </w:rPr>
        <w:t xml:space="preserve">SCE’s proposed EV-7, EV-8 and EV-9 rates for commercial accounts such as fleets, MUD common areas and DC fast charge stations.  These rates have demand charges in year 11 that are much less than an otherwise applicable rate, no demand charges in years 0-5, and a slow phase-in of demand charges in years 6-10.  </w:t>
      </w:r>
    </w:p>
    <w:p w14:paraId="08AC8B86" w14:textId="753088B1" w:rsidR="00C154A3" w:rsidRPr="00C154A3" w:rsidRDefault="00C154A3" w:rsidP="00C154A3">
      <w:pPr>
        <w:pStyle w:val="ListParagraph"/>
        <w:numPr>
          <w:ilvl w:val="3"/>
          <w:numId w:val="1"/>
        </w:numPr>
        <w:rPr>
          <w:sz w:val="23"/>
          <w:szCs w:val="23"/>
        </w:rPr>
      </w:pPr>
      <w:r>
        <w:rPr>
          <w:sz w:val="23"/>
          <w:szCs w:val="23"/>
        </w:rPr>
        <w:t xml:space="preserve">SCE’s current EV-3, EV-4 and EV-6 rates for commercial accounts which offer demand neutralization for accounts that are associated with a main building at the same address (e.g. parking lots associated with an office building, factory or warehouse).  In other words, there are no demand charges for the EV parking lot unless the demand exceeds that of the main building at the account address. </w:t>
      </w:r>
    </w:p>
    <w:p w14:paraId="4B1850E6" w14:textId="05201E9A" w:rsidR="00E03A77" w:rsidRPr="000A1204" w:rsidRDefault="00390E49" w:rsidP="00E03A77">
      <w:pPr>
        <w:pStyle w:val="ListParagraph"/>
        <w:numPr>
          <w:ilvl w:val="1"/>
          <w:numId w:val="1"/>
        </w:numPr>
        <w:rPr>
          <w:sz w:val="23"/>
          <w:szCs w:val="23"/>
        </w:rPr>
      </w:pPr>
      <w:r w:rsidRPr="000A1204">
        <w:rPr>
          <w:sz w:val="23"/>
          <w:szCs w:val="23"/>
          <w:u w:val="single"/>
        </w:rPr>
        <w:t>Residential and commercial</w:t>
      </w:r>
      <w:r w:rsidR="0076565B" w:rsidRPr="000A1204">
        <w:rPr>
          <w:sz w:val="23"/>
          <w:szCs w:val="23"/>
          <w:u w:val="single"/>
        </w:rPr>
        <w:t xml:space="preserve"> solution</w:t>
      </w:r>
      <w:r w:rsidRPr="000A1204">
        <w:rPr>
          <w:sz w:val="23"/>
          <w:szCs w:val="23"/>
        </w:rPr>
        <w:t xml:space="preserve">:  </w:t>
      </w:r>
      <w:r w:rsidR="00A67465" w:rsidRPr="000A1204">
        <w:rPr>
          <w:sz w:val="23"/>
          <w:szCs w:val="23"/>
        </w:rPr>
        <w:t>O</w:t>
      </w:r>
      <w:r w:rsidR="0076565B" w:rsidRPr="000A1204">
        <w:rPr>
          <w:sz w:val="23"/>
          <w:szCs w:val="23"/>
        </w:rPr>
        <w:t>ffer m</w:t>
      </w:r>
      <w:r w:rsidR="00E03A77" w:rsidRPr="000A1204">
        <w:rPr>
          <w:sz w:val="23"/>
          <w:szCs w:val="23"/>
        </w:rPr>
        <w:t xml:space="preserve">arket education </w:t>
      </w:r>
      <w:r w:rsidR="0076565B" w:rsidRPr="000A1204">
        <w:rPr>
          <w:sz w:val="23"/>
          <w:szCs w:val="23"/>
        </w:rPr>
        <w:t>programs (e.g. self-serve websites, workshops, etc</w:t>
      </w:r>
      <w:r w:rsidR="00A67465" w:rsidRPr="000A1204">
        <w:rPr>
          <w:sz w:val="23"/>
          <w:szCs w:val="23"/>
        </w:rPr>
        <w:t>.</w:t>
      </w:r>
      <w:r w:rsidR="0076565B" w:rsidRPr="000A1204">
        <w:rPr>
          <w:sz w:val="23"/>
          <w:szCs w:val="23"/>
        </w:rPr>
        <w:t>) on ways customers can better manage their EV load, and understand the trade-offs involved in purchase decisions for BEVs, PHEVs, and charging systems</w:t>
      </w:r>
      <w:r w:rsidRPr="000A1204">
        <w:rPr>
          <w:sz w:val="23"/>
          <w:szCs w:val="23"/>
        </w:rPr>
        <w:t xml:space="preserve">) </w:t>
      </w:r>
    </w:p>
    <w:p w14:paraId="21358D51" w14:textId="2B508AB8" w:rsidR="00390E49" w:rsidRPr="000A1204" w:rsidRDefault="00390E49" w:rsidP="00390E49">
      <w:pPr>
        <w:pStyle w:val="ListParagraph"/>
        <w:numPr>
          <w:ilvl w:val="2"/>
          <w:numId w:val="1"/>
        </w:numPr>
        <w:rPr>
          <w:sz w:val="23"/>
          <w:szCs w:val="23"/>
        </w:rPr>
      </w:pPr>
      <w:r w:rsidRPr="000A1204">
        <w:rPr>
          <w:sz w:val="23"/>
          <w:szCs w:val="23"/>
        </w:rPr>
        <w:t xml:space="preserve">Benefit:  </w:t>
      </w:r>
      <w:r w:rsidR="00A67465" w:rsidRPr="000A1204">
        <w:rPr>
          <w:sz w:val="23"/>
          <w:szCs w:val="23"/>
        </w:rPr>
        <w:t xml:space="preserve">Bill reduction for site hosts and EV drivers by becoming better informed and selecting technologies to either reduce energy and/or demand charges (e.g., energy management systems, best rate options, and vehicles or charging stations / infrastructure that results in lower cost of ownership).   This solution is viable and the benefits can be monetized, but would require consistent PUC policy and funding.  </w:t>
      </w:r>
    </w:p>
    <w:p w14:paraId="7BDD3BB1" w14:textId="2B6E2C14" w:rsidR="00A67465" w:rsidRPr="000A1204" w:rsidRDefault="00A67465" w:rsidP="00A67465">
      <w:pPr>
        <w:pStyle w:val="ListParagraph"/>
        <w:numPr>
          <w:ilvl w:val="2"/>
          <w:numId w:val="1"/>
        </w:numPr>
        <w:rPr>
          <w:sz w:val="23"/>
          <w:szCs w:val="23"/>
        </w:rPr>
      </w:pPr>
      <w:r w:rsidRPr="000A1204">
        <w:rPr>
          <w:sz w:val="23"/>
          <w:szCs w:val="23"/>
        </w:rPr>
        <w:t xml:space="preserve">Background:  Special TE outreach programs for commercial customers exist or are being piloted (e.g., SCE’s TE Advisory Services).   Website services and outreach events also exist for residential customers. </w:t>
      </w:r>
    </w:p>
    <w:p w14:paraId="32DF50FB" w14:textId="77777777" w:rsidR="00E03A77" w:rsidRPr="009F48A9" w:rsidRDefault="00E03A77" w:rsidP="00390E49"/>
    <w:p w14:paraId="1E0AE850" w14:textId="77777777" w:rsidR="009F48A9" w:rsidRDefault="009F48A9" w:rsidP="008F51FF"/>
    <w:sectPr w:rsidR="009F48A9" w:rsidSect="009B60B9">
      <w:headerReference w:type="default" r:id="rId8"/>
      <w:pgSz w:w="12240" w:h="15840"/>
      <w:pgMar w:top="1644" w:right="1440" w:bottom="117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2D169" w14:textId="77777777" w:rsidR="00661C41" w:rsidRDefault="00661C41" w:rsidP="00D1464C">
      <w:r>
        <w:separator/>
      </w:r>
    </w:p>
  </w:endnote>
  <w:endnote w:type="continuationSeparator" w:id="0">
    <w:p w14:paraId="57136153" w14:textId="77777777" w:rsidR="00661C41" w:rsidRDefault="00661C41" w:rsidP="00D1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7D803" w14:textId="77777777" w:rsidR="00661C41" w:rsidRDefault="00661C41" w:rsidP="00D1464C">
      <w:r>
        <w:separator/>
      </w:r>
    </w:p>
  </w:footnote>
  <w:footnote w:type="continuationSeparator" w:id="0">
    <w:p w14:paraId="1F3BFAAF" w14:textId="77777777" w:rsidR="00661C41" w:rsidRDefault="00661C41" w:rsidP="00D14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5D8E3" w14:textId="499E0829" w:rsidR="009F48A9" w:rsidRPr="009F48A9" w:rsidRDefault="009F48A9" w:rsidP="009F48A9">
    <w:pPr>
      <w:pStyle w:val="Header"/>
      <w:jc w:val="center"/>
      <w:rPr>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E302C"/>
    <w:multiLevelType w:val="multilevel"/>
    <w:tmpl w:val="1DCA47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90133ED"/>
    <w:multiLevelType w:val="hybridMultilevel"/>
    <w:tmpl w:val="B37AF4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12F0378"/>
    <w:multiLevelType w:val="hybridMultilevel"/>
    <w:tmpl w:val="819E2DB0"/>
    <w:lvl w:ilvl="0" w:tplc="5A1C3BF4">
      <w:start w:val="1"/>
      <w:numFmt w:val="bullet"/>
      <w:lvlText w:val=""/>
      <w:lvlJc w:val="left"/>
      <w:pPr>
        <w:ind w:left="361" w:hanging="361"/>
      </w:pPr>
      <w:rPr>
        <w:rFonts w:ascii="Symbol" w:eastAsia="Symbol" w:hAnsi="Symbol" w:hint="default"/>
        <w:sz w:val="22"/>
        <w:szCs w:val="22"/>
      </w:rPr>
    </w:lvl>
    <w:lvl w:ilvl="1" w:tplc="6E807CC2">
      <w:start w:val="1"/>
      <w:numFmt w:val="bullet"/>
      <w:lvlText w:val="o"/>
      <w:lvlJc w:val="left"/>
      <w:pPr>
        <w:ind w:left="721" w:hanging="360"/>
      </w:pPr>
      <w:rPr>
        <w:rFonts w:ascii="Courier New" w:eastAsia="Courier New" w:hAnsi="Courier New" w:hint="default"/>
        <w:sz w:val="22"/>
        <w:szCs w:val="22"/>
      </w:rPr>
    </w:lvl>
    <w:lvl w:ilvl="2" w:tplc="7A0CBB84">
      <w:start w:val="1"/>
      <w:numFmt w:val="bullet"/>
      <w:lvlText w:val="•"/>
      <w:lvlJc w:val="left"/>
      <w:pPr>
        <w:ind w:left="2094" w:hanging="360"/>
      </w:pPr>
      <w:rPr>
        <w:rFonts w:hint="default"/>
      </w:rPr>
    </w:lvl>
    <w:lvl w:ilvl="3" w:tplc="46E4EAC0">
      <w:start w:val="1"/>
      <w:numFmt w:val="bullet"/>
      <w:lvlText w:val="•"/>
      <w:lvlJc w:val="left"/>
      <w:pPr>
        <w:ind w:left="3467" w:hanging="360"/>
      </w:pPr>
      <w:rPr>
        <w:rFonts w:hint="default"/>
      </w:rPr>
    </w:lvl>
    <w:lvl w:ilvl="4" w:tplc="5F084E62">
      <w:start w:val="1"/>
      <w:numFmt w:val="bullet"/>
      <w:lvlText w:val="•"/>
      <w:lvlJc w:val="left"/>
      <w:pPr>
        <w:ind w:left="4841" w:hanging="360"/>
      </w:pPr>
      <w:rPr>
        <w:rFonts w:hint="default"/>
      </w:rPr>
    </w:lvl>
    <w:lvl w:ilvl="5" w:tplc="87FC4AC0">
      <w:start w:val="1"/>
      <w:numFmt w:val="bullet"/>
      <w:lvlText w:val="•"/>
      <w:lvlJc w:val="left"/>
      <w:pPr>
        <w:ind w:left="6214" w:hanging="360"/>
      </w:pPr>
      <w:rPr>
        <w:rFonts w:hint="default"/>
      </w:rPr>
    </w:lvl>
    <w:lvl w:ilvl="6" w:tplc="1AA8F2F8">
      <w:start w:val="1"/>
      <w:numFmt w:val="bullet"/>
      <w:lvlText w:val="•"/>
      <w:lvlJc w:val="left"/>
      <w:pPr>
        <w:ind w:left="7587" w:hanging="360"/>
      </w:pPr>
      <w:rPr>
        <w:rFonts w:hint="default"/>
      </w:rPr>
    </w:lvl>
    <w:lvl w:ilvl="7" w:tplc="C8644980">
      <w:start w:val="1"/>
      <w:numFmt w:val="bullet"/>
      <w:lvlText w:val="•"/>
      <w:lvlJc w:val="left"/>
      <w:pPr>
        <w:ind w:left="8961" w:hanging="360"/>
      </w:pPr>
      <w:rPr>
        <w:rFonts w:hint="default"/>
      </w:rPr>
    </w:lvl>
    <w:lvl w:ilvl="8" w:tplc="3550957A">
      <w:start w:val="1"/>
      <w:numFmt w:val="bullet"/>
      <w:lvlText w:val="•"/>
      <w:lvlJc w:val="left"/>
      <w:pPr>
        <w:ind w:left="10334" w:hanging="360"/>
      </w:pPr>
      <w:rPr>
        <w:rFonts w:hint="default"/>
      </w:rPr>
    </w:lvl>
  </w:abstractNum>
  <w:abstractNum w:abstractNumId="3" w15:restartNumberingAfterBreak="0">
    <w:nsid w:val="3C152D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B6B014A"/>
    <w:multiLevelType w:val="hybridMultilevel"/>
    <w:tmpl w:val="115EBB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5460F4"/>
    <w:multiLevelType w:val="hybridMultilevel"/>
    <w:tmpl w:val="EC8EA660"/>
    <w:lvl w:ilvl="0" w:tplc="412E1798">
      <w:start w:val="6"/>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8B7727"/>
    <w:multiLevelType w:val="multilevel"/>
    <w:tmpl w:val="115EBBC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7B0547A5"/>
    <w:multiLevelType w:val="hybridMultilevel"/>
    <w:tmpl w:val="2C2AA256"/>
    <w:lvl w:ilvl="0" w:tplc="802484DA">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7"/>
  </w:num>
  <w:num w:numId="2">
    <w:abstractNumId w:val="2"/>
  </w:num>
  <w:num w:numId="3">
    <w:abstractNumId w:val="7"/>
  </w:num>
  <w:num w:numId="4">
    <w:abstractNumId w:val="3"/>
  </w:num>
  <w:num w:numId="5">
    <w:abstractNumId w:val="4"/>
  </w:num>
  <w:num w:numId="6">
    <w:abstractNumId w:val="6"/>
  </w:num>
  <w:num w:numId="7">
    <w:abstractNumId w:val="0"/>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5AB"/>
    <w:rsid w:val="00005A75"/>
    <w:rsid w:val="00013CD8"/>
    <w:rsid w:val="0002481B"/>
    <w:rsid w:val="00030584"/>
    <w:rsid w:val="00036D31"/>
    <w:rsid w:val="0004098A"/>
    <w:rsid w:val="000A1204"/>
    <w:rsid w:val="000C392D"/>
    <w:rsid w:val="00114FB0"/>
    <w:rsid w:val="00125920"/>
    <w:rsid w:val="001436F7"/>
    <w:rsid w:val="00146B5D"/>
    <w:rsid w:val="001B2DD9"/>
    <w:rsid w:val="001C60E5"/>
    <w:rsid w:val="001C657C"/>
    <w:rsid w:val="001D21A9"/>
    <w:rsid w:val="001D4189"/>
    <w:rsid w:val="001F2B19"/>
    <w:rsid w:val="0024297F"/>
    <w:rsid w:val="00256C46"/>
    <w:rsid w:val="0027415D"/>
    <w:rsid w:val="00282168"/>
    <w:rsid w:val="00294885"/>
    <w:rsid w:val="002C2BB5"/>
    <w:rsid w:val="002E53FD"/>
    <w:rsid w:val="0032276B"/>
    <w:rsid w:val="00344462"/>
    <w:rsid w:val="003454A7"/>
    <w:rsid w:val="00390E49"/>
    <w:rsid w:val="00394F88"/>
    <w:rsid w:val="0043297B"/>
    <w:rsid w:val="00440B86"/>
    <w:rsid w:val="00442BC2"/>
    <w:rsid w:val="00451EE3"/>
    <w:rsid w:val="00485EBF"/>
    <w:rsid w:val="004912D9"/>
    <w:rsid w:val="004C553A"/>
    <w:rsid w:val="004F7B96"/>
    <w:rsid w:val="005066E4"/>
    <w:rsid w:val="00552845"/>
    <w:rsid w:val="005855DA"/>
    <w:rsid w:val="005A64B4"/>
    <w:rsid w:val="005D6045"/>
    <w:rsid w:val="005F33CC"/>
    <w:rsid w:val="0060064A"/>
    <w:rsid w:val="00622F83"/>
    <w:rsid w:val="00634D88"/>
    <w:rsid w:val="00640418"/>
    <w:rsid w:val="00646CD3"/>
    <w:rsid w:val="0065116C"/>
    <w:rsid w:val="006528A8"/>
    <w:rsid w:val="00661C41"/>
    <w:rsid w:val="006D5D45"/>
    <w:rsid w:val="006E28DA"/>
    <w:rsid w:val="006F1F9A"/>
    <w:rsid w:val="0076565B"/>
    <w:rsid w:val="007951A2"/>
    <w:rsid w:val="007B4FF8"/>
    <w:rsid w:val="007C1D2F"/>
    <w:rsid w:val="007C4290"/>
    <w:rsid w:val="007C75A3"/>
    <w:rsid w:val="007E6178"/>
    <w:rsid w:val="007F04CA"/>
    <w:rsid w:val="008174FC"/>
    <w:rsid w:val="0082737C"/>
    <w:rsid w:val="008434CE"/>
    <w:rsid w:val="0087443A"/>
    <w:rsid w:val="008A1A62"/>
    <w:rsid w:val="008B3178"/>
    <w:rsid w:val="008D66B4"/>
    <w:rsid w:val="008F51FF"/>
    <w:rsid w:val="00970419"/>
    <w:rsid w:val="00977E52"/>
    <w:rsid w:val="00996BF5"/>
    <w:rsid w:val="009A49BE"/>
    <w:rsid w:val="009B60B9"/>
    <w:rsid w:val="009D6211"/>
    <w:rsid w:val="009F48A9"/>
    <w:rsid w:val="00A67465"/>
    <w:rsid w:val="00A76719"/>
    <w:rsid w:val="00AA59F3"/>
    <w:rsid w:val="00AC6B05"/>
    <w:rsid w:val="00AE05D3"/>
    <w:rsid w:val="00AE3C35"/>
    <w:rsid w:val="00AF75C8"/>
    <w:rsid w:val="00BA7FB6"/>
    <w:rsid w:val="00BD2283"/>
    <w:rsid w:val="00C121FF"/>
    <w:rsid w:val="00C154A3"/>
    <w:rsid w:val="00C311E2"/>
    <w:rsid w:val="00C565C9"/>
    <w:rsid w:val="00C63F47"/>
    <w:rsid w:val="00CA0BD3"/>
    <w:rsid w:val="00CD504A"/>
    <w:rsid w:val="00CD759F"/>
    <w:rsid w:val="00CE7052"/>
    <w:rsid w:val="00D1055B"/>
    <w:rsid w:val="00D1464C"/>
    <w:rsid w:val="00D17D6C"/>
    <w:rsid w:val="00D24817"/>
    <w:rsid w:val="00D524BD"/>
    <w:rsid w:val="00D5459E"/>
    <w:rsid w:val="00D632BD"/>
    <w:rsid w:val="00D7376C"/>
    <w:rsid w:val="00D86469"/>
    <w:rsid w:val="00D86D81"/>
    <w:rsid w:val="00DA2917"/>
    <w:rsid w:val="00DC5012"/>
    <w:rsid w:val="00DD3AFB"/>
    <w:rsid w:val="00E02409"/>
    <w:rsid w:val="00E03A77"/>
    <w:rsid w:val="00E12EF7"/>
    <w:rsid w:val="00E135C2"/>
    <w:rsid w:val="00E30CCC"/>
    <w:rsid w:val="00E3174C"/>
    <w:rsid w:val="00E32610"/>
    <w:rsid w:val="00E45249"/>
    <w:rsid w:val="00E50050"/>
    <w:rsid w:val="00E67FB1"/>
    <w:rsid w:val="00E75E12"/>
    <w:rsid w:val="00E91F2F"/>
    <w:rsid w:val="00EB0528"/>
    <w:rsid w:val="00ED0E26"/>
    <w:rsid w:val="00ED3DA0"/>
    <w:rsid w:val="00F04629"/>
    <w:rsid w:val="00F26028"/>
    <w:rsid w:val="00F46407"/>
    <w:rsid w:val="00F5178C"/>
    <w:rsid w:val="00F545AB"/>
    <w:rsid w:val="00FB3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794CF9"/>
  <w15:chartTrackingRefBased/>
  <w15:docId w15:val="{8C5DBD17-36AF-4463-BF5E-16CD52D6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45A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45AB"/>
    <w:pPr>
      <w:ind w:left="720"/>
    </w:pPr>
  </w:style>
  <w:style w:type="paragraph" w:styleId="Header">
    <w:name w:val="header"/>
    <w:basedOn w:val="Normal"/>
    <w:link w:val="HeaderChar"/>
    <w:uiPriority w:val="99"/>
    <w:unhideWhenUsed/>
    <w:rsid w:val="00D1464C"/>
    <w:pPr>
      <w:tabs>
        <w:tab w:val="center" w:pos="4680"/>
        <w:tab w:val="right" w:pos="9360"/>
      </w:tabs>
    </w:pPr>
  </w:style>
  <w:style w:type="character" w:customStyle="1" w:styleId="HeaderChar">
    <w:name w:val="Header Char"/>
    <w:basedOn w:val="DefaultParagraphFont"/>
    <w:link w:val="Header"/>
    <w:uiPriority w:val="99"/>
    <w:rsid w:val="00D1464C"/>
  </w:style>
  <w:style w:type="paragraph" w:styleId="Footer">
    <w:name w:val="footer"/>
    <w:basedOn w:val="Normal"/>
    <w:link w:val="FooterChar"/>
    <w:uiPriority w:val="99"/>
    <w:unhideWhenUsed/>
    <w:rsid w:val="00D1464C"/>
    <w:pPr>
      <w:tabs>
        <w:tab w:val="center" w:pos="4680"/>
        <w:tab w:val="right" w:pos="9360"/>
      </w:tabs>
    </w:pPr>
  </w:style>
  <w:style w:type="character" w:customStyle="1" w:styleId="FooterChar">
    <w:name w:val="Footer Char"/>
    <w:basedOn w:val="DefaultParagraphFont"/>
    <w:link w:val="Footer"/>
    <w:uiPriority w:val="99"/>
    <w:rsid w:val="00D1464C"/>
  </w:style>
  <w:style w:type="character" w:styleId="CommentReference">
    <w:name w:val="annotation reference"/>
    <w:basedOn w:val="DefaultParagraphFont"/>
    <w:uiPriority w:val="99"/>
    <w:semiHidden/>
    <w:unhideWhenUsed/>
    <w:rsid w:val="0032276B"/>
    <w:rPr>
      <w:sz w:val="16"/>
      <w:szCs w:val="16"/>
    </w:rPr>
  </w:style>
  <w:style w:type="paragraph" w:styleId="CommentText">
    <w:name w:val="annotation text"/>
    <w:basedOn w:val="Normal"/>
    <w:link w:val="CommentTextChar"/>
    <w:uiPriority w:val="99"/>
    <w:semiHidden/>
    <w:unhideWhenUsed/>
    <w:rsid w:val="0032276B"/>
    <w:rPr>
      <w:sz w:val="20"/>
      <w:szCs w:val="20"/>
    </w:rPr>
  </w:style>
  <w:style w:type="character" w:customStyle="1" w:styleId="CommentTextChar">
    <w:name w:val="Comment Text Char"/>
    <w:basedOn w:val="DefaultParagraphFont"/>
    <w:link w:val="CommentText"/>
    <w:uiPriority w:val="99"/>
    <w:semiHidden/>
    <w:rsid w:val="0032276B"/>
    <w:rPr>
      <w:sz w:val="20"/>
      <w:szCs w:val="20"/>
    </w:rPr>
  </w:style>
  <w:style w:type="paragraph" w:styleId="CommentSubject">
    <w:name w:val="annotation subject"/>
    <w:basedOn w:val="CommentText"/>
    <w:next w:val="CommentText"/>
    <w:link w:val="CommentSubjectChar"/>
    <w:uiPriority w:val="99"/>
    <w:semiHidden/>
    <w:unhideWhenUsed/>
    <w:rsid w:val="0032276B"/>
    <w:rPr>
      <w:b/>
      <w:bCs/>
    </w:rPr>
  </w:style>
  <w:style w:type="character" w:customStyle="1" w:styleId="CommentSubjectChar">
    <w:name w:val="Comment Subject Char"/>
    <w:basedOn w:val="CommentTextChar"/>
    <w:link w:val="CommentSubject"/>
    <w:uiPriority w:val="99"/>
    <w:semiHidden/>
    <w:rsid w:val="0032276B"/>
    <w:rPr>
      <w:b/>
      <w:bCs/>
      <w:sz w:val="20"/>
      <w:szCs w:val="20"/>
    </w:rPr>
  </w:style>
  <w:style w:type="paragraph" w:styleId="BalloonText">
    <w:name w:val="Balloon Text"/>
    <w:basedOn w:val="Normal"/>
    <w:link w:val="BalloonTextChar"/>
    <w:uiPriority w:val="99"/>
    <w:semiHidden/>
    <w:unhideWhenUsed/>
    <w:rsid w:val="003227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76B"/>
    <w:rPr>
      <w:rFonts w:ascii="Segoe UI" w:hAnsi="Segoe UI" w:cs="Segoe UI"/>
      <w:sz w:val="18"/>
      <w:szCs w:val="18"/>
    </w:rPr>
  </w:style>
  <w:style w:type="paragraph" w:styleId="PlainText">
    <w:name w:val="Plain Text"/>
    <w:basedOn w:val="Normal"/>
    <w:link w:val="PlainTextChar"/>
    <w:uiPriority w:val="99"/>
    <w:semiHidden/>
    <w:unhideWhenUsed/>
    <w:rsid w:val="00C565C9"/>
    <w:rPr>
      <w:rFonts w:ascii="Calibri" w:hAnsi="Calibri"/>
      <w:szCs w:val="21"/>
    </w:rPr>
  </w:style>
  <w:style w:type="character" w:customStyle="1" w:styleId="PlainTextChar">
    <w:name w:val="Plain Text Char"/>
    <w:basedOn w:val="DefaultParagraphFont"/>
    <w:link w:val="PlainText"/>
    <w:uiPriority w:val="99"/>
    <w:semiHidden/>
    <w:rsid w:val="00C565C9"/>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28970">
      <w:bodyDiv w:val="1"/>
      <w:marLeft w:val="0"/>
      <w:marRight w:val="0"/>
      <w:marTop w:val="0"/>
      <w:marBottom w:val="0"/>
      <w:divBdr>
        <w:top w:val="none" w:sz="0" w:space="0" w:color="auto"/>
        <w:left w:val="none" w:sz="0" w:space="0" w:color="auto"/>
        <w:bottom w:val="none" w:sz="0" w:space="0" w:color="auto"/>
        <w:right w:val="none" w:sz="0" w:space="0" w:color="auto"/>
      </w:divBdr>
    </w:div>
    <w:div w:id="1345279544">
      <w:bodyDiv w:val="1"/>
      <w:marLeft w:val="0"/>
      <w:marRight w:val="0"/>
      <w:marTop w:val="0"/>
      <w:marBottom w:val="0"/>
      <w:divBdr>
        <w:top w:val="none" w:sz="0" w:space="0" w:color="auto"/>
        <w:left w:val="none" w:sz="0" w:space="0" w:color="auto"/>
        <w:bottom w:val="none" w:sz="0" w:space="0" w:color="auto"/>
        <w:right w:val="none" w:sz="0" w:space="0" w:color="auto"/>
      </w:divBdr>
    </w:div>
    <w:div w:id="1630091025">
      <w:bodyDiv w:val="1"/>
      <w:marLeft w:val="0"/>
      <w:marRight w:val="0"/>
      <w:marTop w:val="0"/>
      <w:marBottom w:val="0"/>
      <w:divBdr>
        <w:top w:val="none" w:sz="0" w:space="0" w:color="auto"/>
        <w:left w:val="none" w:sz="0" w:space="0" w:color="auto"/>
        <w:bottom w:val="none" w:sz="0" w:space="0" w:color="auto"/>
        <w:right w:val="none" w:sz="0" w:space="0" w:color="auto"/>
      </w:divBdr>
    </w:div>
    <w:div w:id="176811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A5A12-BD93-4F7D-9CBA-7E893BA54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1530</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Taylor</dc:creator>
  <cp:keywords/>
  <dc:description/>
  <cp:lastModifiedBy>Dean Taylor</cp:lastModifiedBy>
  <cp:revision>6</cp:revision>
  <cp:lastPrinted>2017-06-01T21:55:00Z</cp:lastPrinted>
  <dcterms:created xsi:type="dcterms:W3CDTF">2017-06-10T16:38:00Z</dcterms:created>
  <dcterms:modified xsi:type="dcterms:W3CDTF">2017-07-12T18:10:00Z</dcterms:modified>
</cp:coreProperties>
</file>